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F2F8" w14:textId="4CC8D533" w:rsidR="007E5A68" w:rsidRDefault="007E5A68">
      <w:pPr>
        <w:rPr>
          <w:rFonts w:ascii="Times New Roman" w:hAnsi="Times New Roman" w:cs="Times New Roman"/>
          <w:sz w:val="24"/>
          <w:szCs w:val="24"/>
        </w:rPr>
      </w:pPr>
      <w:r w:rsidRPr="00080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Wyjaśnienie </w:t>
      </w:r>
      <w:r w:rsidR="00080903" w:rsidRPr="00080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pojęć </w:t>
      </w:r>
      <w:r w:rsidRPr="00080903">
        <w:rPr>
          <w:rFonts w:ascii="Times New Roman" w:hAnsi="Times New Roman" w:cs="Times New Roman"/>
          <w:b/>
          <w:bCs/>
          <w:sz w:val="24"/>
          <w:szCs w:val="24"/>
          <w:u w:val="single"/>
        </w:rPr>
        <w:t>stosowanych w przesłanej informacji</w:t>
      </w:r>
      <w:r w:rsidRPr="007E5A68">
        <w:rPr>
          <w:rFonts w:ascii="Times New Roman" w:hAnsi="Times New Roman" w:cs="Times New Roman"/>
          <w:sz w:val="24"/>
          <w:szCs w:val="24"/>
        </w:rPr>
        <w:t>:</w:t>
      </w:r>
    </w:p>
    <w:p w14:paraId="07C63DCE" w14:textId="20BB3FC1" w:rsidR="007E5A68" w:rsidRDefault="007E5A68" w:rsidP="007E5A68">
      <w:pPr>
        <w:jc w:val="both"/>
        <w:rPr>
          <w:rFonts w:ascii="Times New Roman" w:hAnsi="Times New Roman" w:cs="Times New Roman"/>
          <w:sz w:val="24"/>
          <w:szCs w:val="24"/>
        </w:rPr>
      </w:pPr>
      <w:r w:rsidRPr="007E5A68">
        <w:rPr>
          <w:rFonts w:ascii="Times New Roman" w:hAnsi="Times New Roman" w:cs="Times New Roman"/>
          <w:b/>
          <w:bCs/>
          <w:sz w:val="24"/>
          <w:szCs w:val="24"/>
        </w:rPr>
        <w:t>Dochody majątkowe</w:t>
      </w:r>
      <w:r>
        <w:rPr>
          <w:rFonts w:ascii="Times New Roman" w:hAnsi="Times New Roman" w:cs="Times New Roman"/>
          <w:sz w:val="24"/>
          <w:szCs w:val="24"/>
        </w:rPr>
        <w:t xml:space="preserve"> – zgodnie z art. 235 ust. 3 ustawy o finansach publicznych do dochodów majątkowych jednostki samorządu terytorialnego zalicza się:</w:t>
      </w:r>
    </w:p>
    <w:p w14:paraId="0EA4DCB7" w14:textId="6AFF2851" w:rsidR="007E5A68" w:rsidRDefault="007E5A68" w:rsidP="007E5A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i środki przeznaczone na inwestycje,</w:t>
      </w:r>
    </w:p>
    <w:p w14:paraId="6AFB8A4B" w14:textId="4A898F8D" w:rsidR="007E5A68" w:rsidRDefault="007E5A68" w:rsidP="007E5A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majątku,</w:t>
      </w:r>
    </w:p>
    <w:p w14:paraId="75E49B70" w14:textId="48741F84" w:rsidR="007E5A68" w:rsidRDefault="007E5A68" w:rsidP="007E5A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przekształcenia prawa użytkowania wieczystego w prawo własności.</w:t>
      </w:r>
    </w:p>
    <w:p w14:paraId="29E9F3A1" w14:textId="2112EEA8" w:rsidR="007E5A68" w:rsidRDefault="007E5A68" w:rsidP="007E5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A55E8" w14:textId="7EB254DF" w:rsidR="007E5A68" w:rsidRDefault="007E5A68" w:rsidP="007E5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Dochody bieżące</w:t>
      </w:r>
      <w:r>
        <w:rPr>
          <w:rFonts w:ascii="Times New Roman" w:hAnsi="Times New Roman" w:cs="Times New Roman"/>
          <w:sz w:val="24"/>
          <w:szCs w:val="24"/>
        </w:rPr>
        <w:t xml:space="preserve"> – na podst. art. 235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stanowią dochody budżetowe jednostki samorządu terytorialnego niebędące dochodami majątkowymi</w:t>
      </w:r>
      <w:r w:rsidR="00586597">
        <w:rPr>
          <w:rFonts w:ascii="Times New Roman" w:hAnsi="Times New Roman" w:cs="Times New Roman"/>
          <w:sz w:val="24"/>
          <w:szCs w:val="24"/>
        </w:rPr>
        <w:t>, np. dochody z podatków i opłat (podatek od nieruchomości, rolny, leśny i in.), udziały w PIT i CIT, subwencja, dotacje na zadania własne bieżące, dotacje na zadnia zlecone bieżące.</w:t>
      </w:r>
    </w:p>
    <w:p w14:paraId="22B3BFA1" w14:textId="64CB3996" w:rsidR="007E5A68" w:rsidRDefault="007E5A68" w:rsidP="007E5A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D0EE0" w14:textId="07C95A8A" w:rsidR="007E5A68" w:rsidRDefault="007E5A68" w:rsidP="007E5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 majątkowe</w:t>
      </w:r>
      <w:r>
        <w:rPr>
          <w:rFonts w:ascii="Times New Roman" w:hAnsi="Times New Roman" w:cs="Times New Roman"/>
          <w:sz w:val="24"/>
          <w:szCs w:val="24"/>
        </w:rPr>
        <w:t xml:space="preserve"> – na podst. art. 236</w:t>
      </w:r>
      <w:r w:rsidR="00080903">
        <w:rPr>
          <w:rFonts w:ascii="Times New Roman" w:hAnsi="Times New Roman" w:cs="Times New Roman"/>
          <w:sz w:val="24"/>
          <w:szCs w:val="24"/>
        </w:rPr>
        <w:t xml:space="preserve"> ust. 4 </w:t>
      </w:r>
      <w:proofErr w:type="spellStart"/>
      <w:r w:rsidR="00080903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080903">
        <w:rPr>
          <w:rFonts w:ascii="Times New Roman" w:hAnsi="Times New Roman" w:cs="Times New Roman"/>
          <w:sz w:val="24"/>
          <w:szCs w:val="24"/>
        </w:rPr>
        <w:t xml:space="preserve"> do wydatków majątkowych zalicza się:</w:t>
      </w:r>
    </w:p>
    <w:p w14:paraId="52A30C57" w14:textId="41038468" w:rsidR="00080903" w:rsidRDefault="00080903" w:rsidP="000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i zakupy inwestycyjne,</w:t>
      </w:r>
    </w:p>
    <w:p w14:paraId="3EFB5635" w14:textId="448D5727" w:rsidR="00080903" w:rsidRDefault="00080903" w:rsidP="000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objęcie akcji i udziałów,</w:t>
      </w:r>
    </w:p>
    <w:p w14:paraId="7D5559AB" w14:textId="481AD841" w:rsidR="00080903" w:rsidRDefault="00080903" w:rsidP="000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wkładów do spółek prawa handlowego.</w:t>
      </w:r>
    </w:p>
    <w:p w14:paraId="48E70CAE" w14:textId="343BC49A" w:rsidR="00080903" w:rsidRDefault="00080903" w:rsidP="00080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74CAB" w14:textId="6223B6C1" w:rsidR="00080903" w:rsidRDefault="00080903" w:rsidP="00080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 bieżące</w:t>
      </w:r>
      <w:r>
        <w:rPr>
          <w:rFonts w:ascii="Times New Roman" w:hAnsi="Times New Roman" w:cs="Times New Roman"/>
          <w:sz w:val="24"/>
          <w:szCs w:val="24"/>
        </w:rPr>
        <w:t xml:space="preserve"> – zgodnie z art. 236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wydatków bieżących jednostki samorządu terytorialnego zalicza się wydatki budżetowe niebędące wydatkami majątkowymi</w:t>
      </w:r>
      <w:r w:rsidR="00586597">
        <w:rPr>
          <w:rFonts w:ascii="Times New Roman" w:hAnsi="Times New Roman" w:cs="Times New Roman"/>
          <w:sz w:val="24"/>
          <w:szCs w:val="24"/>
        </w:rPr>
        <w:t xml:space="preserve">, np.: wynagrodzenia wraz z pochodnymi, dotacje na realizację zadań </w:t>
      </w:r>
      <w:proofErr w:type="spellStart"/>
      <w:r w:rsidR="00586597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586597">
        <w:rPr>
          <w:rFonts w:ascii="Times New Roman" w:hAnsi="Times New Roman" w:cs="Times New Roman"/>
          <w:sz w:val="24"/>
          <w:szCs w:val="24"/>
        </w:rPr>
        <w:t xml:space="preserve">, zakup materiałów </w:t>
      </w:r>
    </w:p>
    <w:p w14:paraId="727C802F" w14:textId="77777777" w:rsidR="00080903" w:rsidRDefault="00080903" w:rsidP="00080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2ED77" w14:textId="487A1053" w:rsidR="00080903" w:rsidRDefault="00080903" w:rsidP="00080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Wynik budżetu – </w:t>
      </w:r>
      <w:r>
        <w:rPr>
          <w:rFonts w:ascii="Times New Roman" w:hAnsi="Times New Roman" w:cs="Times New Roman"/>
          <w:sz w:val="24"/>
          <w:szCs w:val="24"/>
        </w:rPr>
        <w:t>różnica między dochodami ogółem i wydatkami ogółem</w:t>
      </w:r>
      <w:r w:rsidR="008D56A0">
        <w:rPr>
          <w:rFonts w:ascii="Times New Roman" w:hAnsi="Times New Roman" w:cs="Times New Roman"/>
          <w:sz w:val="24"/>
          <w:szCs w:val="24"/>
        </w:rPr>
        <w:t>.</w:t>
      </w:r>
    </w:p>
    <w:p w14:paraId="0DD10D1B" w14:textId="77777777" w:rsidR="008D56A0" w:rsidRDefault="008D56A0" w:rsidP="00080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1DE1C" w14:textId="27F08D31" w:rsidR="008D56A0" w:rsidRDefault="008D56A0" w:rsidP="00080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Dług zaciągnięty – </w:t>
      </w:r>
      <w:r>
        <w:rPr>
          <w:rFonts w:ascii="Times New Roman" w:hAnsi="Times New Roman" w:cs="Times New Roman"/>
          <w:sz w:val="24"/>
          <w:szCs w:val="24"/>
        </w:rPr>
        <w:t>zaciągnięte w danym okresie (I kw.) kredyty, pożyczki lub wyemitowane obligacje komunalne.</w:t>
      </w:r>
    </w:p>
    <w:p w14:paraId="5265561C" w14:textId="14A54AB0" w:rsidR="008D56A0" w:rsidRDefault="008D56A0" w:rsidP="00080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F059A" w14:textId="68C364D9" w:rsidR="008D56A0" w:rsidRDefault="008D56A0" w:rsidP="00080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Dług spłacony </w:t>
      </w:r>
      <w:r>
        <w:rPr>
          <w:rFonts w:ascii="Times New Roman" w:hAnsi="Times New Roman" w:cs="Times New Roman"/>
          <w:sz w:val="24"/>
          <w:szCs w:val="24"/>
        </w:rPr>
        <w:t>– spłacone w danym okresie (I kw.) raty kredytów, pożyczek oraz wykupione obligacje komunalne.</w:t>
      </w:r>
    </w:p>
    <w:p w14:paraId="2B00CFAB" w14:textId="592BB01B" w:rsidR="008D56A0" w:rsidRDefault="008D56A0" w:rsidP="00080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FE59B" w14:textId="3CE64C25" w:rsidR="008D56A0" w:rsidRDefault="008D56A0" w:rsidP="00080903">
      <w:pPr>
        <w:jc w:val="both"/>
        <w:rPr>
          <w:rFonts w:ascii="Times New Roman" w:hAnsi="Times New Roman" w:cs="Times New Roman"/>
          <w:sz w:val="24"/>
          <w:szCs w:val="24"/>
        </w:rPr>
      </w:pPr>
      <w:r w:rsidRPr="008D56A0">
        <w:rPr>
          <w:rFonts w:ascii="Times New Roman" w:hAnsi="Times New Roman" w:cs="Times New Roman"/>
          <w:b/>
          <w:bCs/>
          <w:sz w:val="24"/>
          <w:szCs w:val="24"/>
        </w:rPr>
        <w:t>Zobowiązania</w:t>
      </w:r>
      <w:r>
        <w:rPr>
          <w:rFonts w:ascii="Times New Roman" w:hAnsi="Times New Roman" w:cs="Times New Roman"/>
          <w:sz w:val="24"/>
          <w:szCs w:val="24"/>
        </w:rPr>
        <w:t xml:space="preserve"> – stan zobowiązań na koniec danego okresu (koniec I kw.) obejmujący:</w:t>
      </w:r>
    </w:p>
    <w:p w14:paraId="6A040A7F" w14:textId="4534B625" w:rsidR="008D56A0" w:rsidRDefault="008D56A0" w:rsidP="008D5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zaciągnięte kredyty i pożyczki, w tym zobowiązania wynikające ze stosunków prawnych</w:t>
      </w:r>
      <w:r w:rsidR="00DD7AC6">
        <w:rPr>
          <w:rFonts w:ascii="Times New Roman" w:hAnsi="Times New Roman" w:cs="Times New Roman"/>
          <w:sz w:val="24"/>
          <w:szCs w:val="24"/>
        </w:rPr>
        <w:t>, które wywołują skutki ekonomiczne podobne do skutków wynikających z umów kredytów i pożyczek oraz papierów wartościowych, np. sprzedaż na raty, kredyt kupiecki itp.</w:t>
      </w:r>
    </w:p>
    <w:p w14:paraId="735C59C0" w14:textId="1425FB3E" w:rsidR="008D56A0" w:rsidRDefault="008D56A0" w:rsidP="008D5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wyemitowane obligacje,</w:t>
      </w:r>
    </w:p>
    <w:p w14:paraId="6AE403FE" w14:textId="73F7FA2F" w:rsidR="008D56A0" w:rsidRPr="0041661D" w:rsidRDefault="008D56A0" w:rsidP="004868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1D">
        <w:rPr>
          <w:rFonts w:ascii="Times New Roman" w:hAnsi="Times New Roman" w:cs="Times New Roman"/>
          <w:sz w:val="24"/>
          <w:szCs w:val="24"/>
        </w:rPr>
        <w:t>wymagalne zobowiązania.</w:t>
      </w:r>
      <w:bookmarkStart w:id="0" w:name="_GoBack"/>
      <w:bookmarkEnd w:id="0"/>
    </w:p>
    <w:sectPr w:rsidR="008D56A0" w:rsidRPr="004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077"/>
    <w:multiLevelType w:val="hybridMultilevel"/>
    <w:tmpl w:val="1A8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6D59"/>
    <w:multiLevelType w:val="hybridMultilevel"/>
    <w:tmpl w:val="7E8EA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020E"/>
    <w:multiLevelType w:val="hybridMultilevel"/>
    <w:tmpl w:val="28AE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68"/>
    <w:rsid w:val="00080903"/>
    <w:rsid w:val="0041661D"/>
    <w:rsid w:val="00586597"/>
    <w:rsid w:val="007E5A68"/>
    <w:rsid w:val="008D56A0"/>
    <w:rsid w:val="00971D48"/>
    <w:rsid w:val="00D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8BFD"/>
  <w15:chartTrackingRefBased/>
  <w15:docId w15:val="{E7557CF4-72F7-4CCB-B17A-1BF069E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A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Cygańska</dc:creator>
  <cp:keywords/>
  <dc:description/>
  <cp:lastModifiedBy>Grabowska Agnieszka</cp:lastModifiedBy>
  <cp:revision>2</cp:revision>
  <cp:lastPrinted>2020-07-03T06:48:00Z</cp:lastPrinted>
  <dcterms:created xsi:type="dcterms:W3CDTF">2020-07-03T06:49:00Z</dcterms:created>
  <dcterms:modified xsi:type="dcterms:W3CDTF">2020-07-03T06:49:00Z</dcterms:modified>
</cp:coreProperties>
</file>