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53" w:rsidRPr="009B1753" w:rsidRDefault="007708C2" w:rsidP="009B1753">
      <w:pPr>
        <w:jc w:val="center"/>
        <w:rPr>
          <w:b/>
        </w:rPr>
      </w:pPr>
      <w:r w:rsidRPr="009B1753">
        <w:rPr>
          <w:b/>
        </w:rPr>
        <w:t>Podsumowanie – rok 2019</w:t>
      </w:r>
      <w:r w:rsidR="009B1753" w:rsidRPr="009B1753">
        <w:rPr>
          <w:b/>
        </w:rPr>
        <w:t xml:space="preserve"> - uwagi dotyczące kondycji ekonomicznej JST wojewód</w:t>
      </w:r>
      <w:r w:rsidR="009B1753">
        <w:rPr>
          <w:b/>
        </w:rPr>
        <w:t>ztwa pomorskiego i ogółem kraju</w:t>
      </w:r>
    </w:p>
    <w:p w:rsidR="007708C2" w:rsidRDefault="007708C2"/>
    <w:p w:rsidR="009B1753" w:rsidRDefault="007708C2" w:rsidP="00134184">
      <w:pPr>
        <w:pStyle w:val="Akapitzlist"/>
        <w:numPr>
          <w:ilvl w:val="0"/>
          <w:numId w:val="1"/>
        </w:numPr>
      </w:pPr>
      <w:r>
        <w:t>Dochody własne/ dochody ogółem x 100 %</w:t>
      </w:r>
    </w:p>
    <w:tbl>
      <w:tblPr>
        <w:tblStyle w:val="Tabela-Siatka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1828"/>
        <w:gridCol w:w="1828"/>
        <w:gridCol w:w="1827"/>
        <w:gridCol w:w="1828"/>
        <w:gridCol w:w="1828"/>
        <w:gridCol w:w="1865"/>
        <w:gridCol w:w="1849"/>
      </w:tblGrid>
      <w:tr w:rsidR="009B1753" w:rsidTr="004F4DE3">
        <w:tc>
          <w:tcPr>
            <w:tcW w:w="3719" w:type="dxa"/>
            <w:gridSpan w:val="2"/>
          </w:tcPr>
          <w:p w:rsidR="009B1753" w:rsidRPr="009B1753" w:rsidRDefault="009B1753" w:rsidP="009B1753">
            <w:pPr>
              <w:pStyle w:val="Akapitzlist"/>
              <w:ind w:left="0"/>
              <w:rPr>
                <w:b/>
              </w:rPr>
            </w:pPr>
            <w:r w:rsidRPr="009B1753">
              <w:rPr>
                <w:b/>
              </w:rPr>
              <w:t xml:space="preserve">Liczba </w:t>
            </w:r>
            <w:proofErr w:type="spellStart"/>
            <w:r w:rsidRPr="009B1753">
              <w:rPr>
                <w:b/>
              </w:rPr>
              <w:t>jst</w:t>
            </w:r>
            <w:proofErr w:type="spellEnd"/>
            <w:r w:rsidRPr="009B1753">
              <w:rPr>
                <w:b/>
              </w:rPr>
              <w:t xml:space="preserve"> osiągających</w:t>
            </w:r>
          </w:p>
        </w:tc>
        <w:tc>
          <w:tcPr>
            <w:tcW w:w="3655" w:type="dxa"/>
            <w:gridSpan w:val="2"/>
          </w:tcPr>
          <w:p w:rsidR="009B1753" w:rsidRDefault="009B1753" w:rsidP="009B1753">
            <w:pPr>
              <w:pStyle w:val="Akapitzlist"/>
              <w:ind w:left="0"/>
            </w:pPr>
            <w:r w:rsidRPr="000A7659">
              <w:rPr>
                <w:b/>
                <w:bCs/>
              </w:rPr>
              <w:t>Wskaźnik najniższy</w:t>
            </w:r>
          </w:p>
        </w:tc>
        <w:tc>
          <w:tcPr>
            <w:tcW w:w="3656" w:type="dxa"/>
            <w:gridSpan w:val="2"/>
          </w:tcPr>
          <w:p w:rsidR="009B1753" w:rsidRDefault="009B1753" w:rsidP="009B1753">
            <w:pPr>
              <w:pStyle w:val="Akapitzlist"/>
              <w:ind w:left="0"/>
            </w:pPr>
            <w:r w:rsidRPr="000A7659">
              <w:rPr>
                <w:b/>
                <w:bCs/>
              </w:rPr>
              <w:t>Wskaźnik najwyższy</w:t>
            </w:r>
          </w:p>
        </w:tc>
        <w:tc>
          <w:tcPr>
            <w:tcW w:w="3714" w:type="dxa"/>
            <w:gridSpan w:val="2"/>
          </w:tcPr>
          <w:p w:rsidR="009B1753" w:rsidRDefault="009B1753" w:rsidP="009B1753">
            <w:pPr>
              <w:pStyle w:val="Akapitzlist"/>
              <w:ind w:left="0"/>
            </w:pPr>
            <w:r>
              <w:rPr>
                <w:b/>
                <w:bCs/>
              </w:rPr>
              <w:t xml:space="preserve">Największe </w:t>
            </w:r>
            <w:proofErr w:type="spellStart"/>
            <w:r>
              <w:rPr>
                <w:b/>
                <w:bCs/>
              </w:rPr>
              <w:t>jst</w:t>
            </w:r>
            <w:proofErr w:type="spellEnd"/>
          </w:p>
        </w:tc>
      </w:tr>
      <w:tr w:rsidR="009B1753" w:rsidTr="004F4DE3">
        <w:tc>
          <w:tcPr>
            <w:tcW w:w="1891" w:type="dxa"/>
          </w:tcPr>
          <w:p w:rsidR="009B1753" w:rsidRDefault="009B1753" w:rsidP="009B1753">
            <w:pPr>
              <w:pStyle w:val="Akapitzlist"/>
              <w:ind w:left="0"/>
            </w:pPr>
            <w:r>
              <w:t>mniej niż 30%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26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Linia</w:t>
            </w:r>
          </w:p>
        </w:tc>
        <w:tc>
          <w:tcPr>
            <w:tcW w:w="1827" w:type="dxa"/>
          </w:tcPr>
          <w:p w:rsidR="009B1753" w:rsidRDefault="009B1753" w:rsidP="009B1753">
            <w:pPr>
              <w:pStyle w:val="Akapitzlist"/>
              <w:ind w:left="0"/>
            </w:pPr>
            <w:r>
              <w:t>23 %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Krynica M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82 %</w:t>
            </w:r>
          </w:p>
        </w:tc>
        <w:tc>
          <w:tcPr>
            <w:tcW w:w="1865" w:type="dxa"/>
          </w:tcPr>
          <w:p w:rsidR="009B1753" w:rsidRDefault="009B1753" w:rsidP="009B1753">
            <w:pPr>
              <w:pStyle w:val="Akapitzlist"/>
              <w:ind w:left="0"/>
            </w:pPr>
            <w:r>
              <w:t>Sejmik</w:t>
            </w:r>
          </w:p>
        </w:tc>
        <w:tc>
          <w:tcPr>
            <w:tcW w:w="1849" w:type="dxa"/>
          </w:tcPr>
          <w:p w:rsidR="009B1753" w:rsidRDefault="009B1753" w:rsidP="009B1753">
            <w:pPr>
              <w:pStyle w:val="Akapitzlist"/>
              <w:ind w:left="0"/>
            </w:pPr>
            <w:r>
              <w:t>52</w:t>
            </w:r>
            <w:r w:rsidR="00FA0A08">
              <w:t xml:space="preserve"> </w:t>
            </w:r>
            <w:r>
              <w:t>%</w:t>
            </w:r>
          </w:p>
        </w:tc>
      </w:tr>
      <w:tr w:rsidR="009B1753" w:rsidTr="004F4DE3">
        <w:tc>
          <w:tcPr>
            <w:tcW w:w="1891" w:type="dxa"/>
          </w:tcPr>
          <w:p w:rsidR="009B1753" w:rsidRDefault="009B1753" w:rsidP="009B1753">
            <w:pPr>
              <w:pStyle w:val="Akapitzlist"/>
              <w:ind w:left="0"/>
            </w:pPr>
            <w:r>
              <w:t>od  30 – 40%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49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Stara Kiszewa</w:t>
            </w:r>
          </w:p>
        </w:tc>
        <w:tc>
          <w:tcPr>
            <w:tcW w:w="1827" w:type="dxa"/>
          </w:tcPr>
          <w:p w:rsidR="009B1753" w:rsidRDefault="009B1753" w:rsidP="009B1753">
            <w:pPr>
              <w:pStyle w:val="Akapitzlist"/>
              <w:ind w:left="0"/>
            </w:pPr>
            <w:r>
              <w:t>25 %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Hel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72 %</w:t>
            </w:r>
          </w:p>
        </w:tc>
        <w:tc>
          <w:tcPr>
            <w:tcW w:w="1865" w:type="dxa"/>
          </w:tcPr>
          <w:p w:rsidR="009B1753" w:rsidRDefault="009B1753" w:rsidP="009B1753">
            <w:pPr>
              <w:pStyle w:val="Akapitzlist"/>
              <w:ind w:left="0"/>
            </w:pPr>
            <w:r>
              <w:t>Gdańsk</w:t>
            </w:r>
          </w:p>
        </w:tc>
        <w:tc>
          <w:tcPr>
            <w:tcW w:w="1849" w:type="dxa"/>
          </w:tcPr>
          <w:p w:rsidR="009B1753" w:rsidRDefault="009B1753" w:rsidP="009B1753">
            <w:pPr>
              <w:pStyle w:val="Akapitzlist"/>
              <w:ind w:left="0"/>
            </w:pPr>
            <w:r>
              <w:t>64 %</w:t>
            </w:r>
          </w:p>
        </w:tc>
      </w:tr>
      <w:tr w:rsidR="009B1753" w:rsidTr="004F4DE3">
        <w:tc>
          <w:tcPr>
            <w:tcW w:w="1891" w:type="dxa"/>
          </w:tcPr>
          <w:p w:rsidR="009B1753" w:rsidRDefault="009B1753" w:rsidP="009B1753">
            <w:pPr>
              <w:pStyle w:val="Akapitzlist"/>
              <w:ind w:left="0"/>
            </w:pPr>
            <w:r>
              <w:t>od  40 – 50%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40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Trzebielino</w:t>
            </w:r>
          </w:p>
        </w:tc>
        <w:tc>
          <w:tcPr>
            <w:tcW w:w="1827" w:type="dxa"/>
          </w:tcPr>
          <w:p w:rsidR="009B1753" w:rsidRDefault="009B1753" w:rsidP="009B1753">
            <w:pPr>
              <w:pStyle w:val="Akapitzlist"/>
              <w:ind w:left="0"/>
            </w:pPr>
            <w:r>
              <w:t>25 %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g. Ustka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64 %</w:t>
            </w:r>
          </w:p>
        </w:tc>
        <w:tc>
          <w:tcPr>
            <w:tcW w:w="1865" w:type="dxa"/>
          </w:tcPr>
          <w:p w:rsidR="009B1753" w:rsidRDefault="009B1753" w:rsidP="009B1753">
            <w:pPr>
              <w:pStyle w:val="Akapitzlist"/>
              <w:ind w:left="0"/>
            </w:pPr>
            <w:r>
              <w:t>Gdynia</w:t>
            </w:r>
          </w:p>
        </w:tc>
        <w:tc>
          <w:tcPr>
            <w:tcW w:w="1849" w:type="dxa"/>
          </w:tcPr>
          <w:p w:rsidR="009B1753" w:rsidRDefault="009B1753" w:rsidP="009B1753">
            <w:pPr>
              <w:pStyle w:val="Akapitzlist"/>
              <w:ind w:left="0"/>
            </w:pPr>
            <w:r>
              <w:t>57 %</w:t>
            </w:r>
          </w:p>
        </w:tc>
      </w:tr>
      <w:tr w:rsidR="009B1753" w:rsidTr="004F4DE3">
        <w:tc>
          <w:tcPr>
            <w:tcW w:w="1891" w:type="dxa"/>
          </w:tcPr>
          <w:p w:rsidR="009B1753" w:rsidRDefault="009B1753" w:rsidP="009B1753">
            <w:pPr>
              <w:pStyle w:val="Akapitzlist"/>
              <w:ind w:left="0"/>
            </w:pPr>
            <w:r>
              <w:t>powyżej 50 %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25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Sierakowice</w:t>
            </w:r>
          </w:p>
        </w:tc>
        <w:tc>
          <w:tcPr>
            <w:tcW w:w="1827" w:type="dxa"/>
          </w:tcPr>
          <w:p w:rsidR="009B1753" w:rsidRDefault="009B1753" w:rsidP="009B1753">
            <w:pPr>
              <w:pStyle w:val="Akapitzlist"/>
              <w:ind w:left="0"/>
            </w:pPr>
            <w:r>
              <w:t>25 %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Jastarnia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62 %</w:t>
            </w:r>
          </w:p>
        </w:tc>
        <w:tc>
          <w:tcPr>
            <w:tcW w:w="1865" w:type="dxa"/>
          </w:tcPr>
          <w:p w:rsidR="009B1753" w:rsidRDefault="009B1753" w:rsidP="009B1753">
            <w:pPr>
              <w:pStyle w:val="Akapitzlist"/>
              <w:ind w:left="0"/>
            </w:pPr>
            <w:r>
              <w:t>m. Słupsk</w:t>
            </w:r>
          </w:p>
        </w:tc>
        <w:tc>
          <w:tcPr>
            <w:tcW w:w="1849" w:type="dxa"/>
          </w:tcPr>
          <w:p w:rsidR="009B1753" w:rsidRDefault="009B1753" w:rsidP="009B1753">
            <w:pPr>
              <w:pStyle w:val="Akapitzlist"/>
              <w:ind w:left="0"/>
            </w:pPr>
            <w:r>
              <w:t>48 %</w:t>
            </w:r>
          </w:p>
        </w:tc>
      </w:tr>
      <w:tr w:rsidR="009B1753" w:rsidTr="004F4DE3">
        <w:tc>
          <w:tcPr>
            <w:tcW w:w="1891" w:type="dxa"/>
          </w:tcPr>
          <w:p w:rsidR="009B1753" w:rsidRDefault="009B1753" w:rsidP="009B1753">
            <w:pPr>
              <w:pStyle w:val="Akapitzlist"/>
              <w:ind w:left="0"/>
            </w:pP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Sadlinki</w:t>
            </w:r>
            <w:r>
              <w:tab/>
            </w:r>
          </w:p>
        </w:tc>
        <w:tc>
          <w:tcPr>
            <w:tcW w:w="1827" w:type="dxa"/>
          </w:tcPr>
          <w:p w:rsidR="009B1753" w:rsidRDefault="009B1753" w:rsidP="009B1753">
            <w:pPr>
              <w:pStyle w:val="Akapitzlist"/>
              <w:ind w:left="0"/>
            </w:pPr>
            <w:r>
              <w:t>25 %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m. Kwidzyn</w:t>
            </w:r>
          </w:p>
        </w:tc>
        <w:tc>
          <w:tcPr>
            <w:tcW w:w="1828" w:type="dxa"/>
          </w:tcPr>
          <w:p w:rsidR="009B1753" w:rsidRDefault="009B1753" w:rsidP="009B1753">
            <w:pPr>
              <w:pStyle w:val="Akapitzlist"/>
              <w:ind w:left="0"/>
            </w:pPr>
            <w:r>
              <w:t>56 %</w:t>
            </w:r>
          </w:p>
        </w:tc>
        <w:tc>
          <w:tcPr>
            <w:tcW w:w="1865" w:type="dxa"/>
          </w:tcPr>
          <w:p w:rsidR="009B1753" w:rsidRDefault="009B1753" w:rsidP="009B1753">
            <w:pPr>
              <w:pStyle w:val="Akapitzlist"/>
              <w:ind w:left="0"/>
            </w:pPr>
            <w:r>
              <w:t>Sopot</w:t>
            </w:r>
          </w:p>
        </w:tc>
        <w:tc>
          <w:tcPr>
            <w:tcW w:w="1849" w:type="dxa"/>
          </w:tcPr>
          <w:p w:rsidR="009B1753" w:rsidRDefault="009B1753" w:rsidP="009B1753">
            <w:pPr>
              <w:pStyle w:val="Akapitzlist"/>
              <w:ind w:left="0"/>
            </w:pPr>
            <w:r>
              <w:t>74 %</w:t>
            </w:r>
          </w:p>
        </w:tc>
      </w:tr>
    </w:tbl>
    <w:p w:rsidR="009B1753" w:rsidRDefault="009B1753" w:rsidP="009B1753">
      <w:pPr>
        <w:pStyle w:val="Akapitzlist"/>
        <w:ind w:left="644"/>
      </w:pPr>
    </w:p>
    <w:p w:rsidR="00546AD5" w:rsidRDefault="00134184" w:rsidP="007708C2">
      <w:pPr>
        <w:pStyle w:val="Akapitzlist"/>
      </w:pPr>
      <w:r>
        <w:t>Kraj: dochody ogółem -  278 mld zł /</w:t>
      </w:r>
      <w:r w:rsidR="00546AD5">
        <w:t>ok. 2/3 dochodów budżetu państwa/</w:t>
      </w:r>
    </w:p>
    <w:p w:rsidR="00546AD5" w:rsidRDefault="00546AD5" w:rsidP="007708C2">
      <w:pPr>
        <w:pStyle w:val="Akapitzlist"/>
      </w:pPr>
      <w:r>
        <w:t xml:space="preserve">         </w:t>
      </w:r>
      <w:r w:rsidR="00463A4F">
        <w:t>d</w:t>
      </w:r>
      <w:r w:rsidR="00134184">
        <w:t>ochody własne -   135,8 mld zł /</w:t>
      </w:r>
      <w:r>
        <w:t>wskaźnik 48,75 %/</w:t>
      </w:r>
    </w:p>
    <w:p w:rsidR="00463A4F" w:rsidRDefault="00546AD5" w:rsidP="007708C2">
      <w:pPr>
        <w:pStyle w:val="Akapitzlist"/>
      </w:pPr>
      <w:r>
        <w:t>Woj. pomorskie</w:t>
      </w:r>
      <w:r w:rsidR="00134184">
        <w:t xml:space="preserve">: dochody </w:t>
      </w:r>
      <w:r w:rsidR="00463A4F">
        <w:t>ogółem 18, 1 mld zł, dochody wł</w:t>
      </w:r>
      <w:r w:rsidR="00134184">
        <w:t>asne 8,8 mld zł, wskaźnik 48,90</w:t>
      </w:r>
      <w:r w:rsidR="00463A4F">
        <w:t>%</w:t>
      </w:r>
    </w:p>
    <w:p w:rsidR="00E03E4A" w:rsidRDefault="00134184" w:rsidP="004F4DE3">
      <w:pPr>
        <w:pStyle w:val="Akapitzlist"/>
      </w:pPr>
      <w:r>
        <w:t xml:space="preserve">Dochody ogółem </w:t>
      </w:r>
      <w:proofErr w:type="spellStart"/>
      <w:r>
        <w:t>jst</w:t>
      </w:r>
      <w:proofErr w:type="spellEnd"/>
      <w:r>
        <w:t xml:space="preserve">: </w:t>
      </w:r>
      <w:r w:rsidR="00463A4F">
        <w:t>woj</w:t>
      </w:r>
      <w:r>
        <w:t>. pomorskie/kraj x 100 % = 6,49</w:t>
      </w:r>
      <w:r w:rsidR="00463A4F">
        <w:t>%</w:t>
      </w:r>
    </w:p>
    <w:p w:rsidR="004F4DE3" w:rsidRDefault="004F4DE3" w:rsidP="004F4DE3">
      <w:pPr>
        <w:pStyle w:val="Akapitzlist"/>
      </w:pPr>
    </w:p>
    <w:p w:rsidR="004F4DE3" w:rsidRDefault="00463A4F" w:rsidP="00134184">
      <w:pPr>
        <w:pStyle w:val="Akapitzlist"/>
        <w:numPr>
          <w:ilvl w:val="0"/>
          <w:numId w:val="1"/>
        </w:numPr>
      </w:pPr>
      <w:r>
        <w:t>Zobowiązania / dochody ogółem x 100 %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411"/>
        <w:gridCol w:w="2835"/>
        <w:gridCol w:w="1253"/>
        <w:gridCol w:w="1834"/>
        <w:gridCol w:w="1834"/>
        <w:gridCol w:w="1834"/>
        <w:gridCol w:w="1834"/>
      </w:tblGrid>
      <w:tr w:rsidR="004F4DE3" w:rsidTr="004F4DE3">
        <w:tc>
          <w:tcPr>
            <w:tcW w:w="3244" w:type="dxa"/>
            <w:gridSpan w:val="2"/>
          </w:tcPr>
          <w:p w:rsidR="004F4DE3" w:rsidRPr="004F4DE3" w:rsidRDefault="004F4DE3" w:rsidP="00463A4F">
            <w:pPr>
              <w:pStyle w:val="Akapitzlist"/>
              <w:ind w:left="0"/>
              <w:rPr>
                <w:b/>
              </w:rPr>
            </w:pPr>
            <w:r w:rsidRPr="004F4DE3">
              <w:rPr>
                <w:b/>
              </w:rPr>
              <w:t xml:space="preserve">Liczba </w:t>
            </w:r>
            <w:proofErr w:type="spellStart"/>
            <w:r w:rsidRPr="004F4DE3">
              <w:rPr>
                <w:b/>
              </w:rPr>
              <w:t>jst</w:t>
            </w:r>
            <w:proofErr w:type="spellEnd"/>
            <w:r w:rsidRPr="004F4DE3">
              <w:rPr>
                <w:b/>
              </w:rPr>
              <w:t xml:space="preserve"> o wskaźniku</w:t>
            </w:r>
          </w:p>
        </w:tc>
        <w:tc>
          <w:tcPr>
            <w:tcW w:w="4088" w:type="dxa"/>
            <w:gridSpan w:val="2"/>
          </w:tcPr>
          <w:p w:rsidR="004F4DE3" w:rsidRDefault="004F4DE3" w:rsidP="00463A4F">
            <w:pPr>
              <w:pStyle w:val="Akapitzlist"/>
              <w:ind w:left="0"/>
            </w:pPr>
            <w:r w:rsidRPr="000A7659">
              <w:rPr>
                <w:b/>
                <w:bCs/>
              </w:rPr>
              <w:t>Wskaźnik najniższy</w:t>
            </w:r>
          </w:p>
        </w:tc>
        <w:tc>
          <w:tcPr>
            <w:tcW w:w="3668" w:type="dxa"/>
            <w:gridSpan w:val="2"/>
          </w:tcPr>
          <w:p w:rsidR="004F4DE3" w:rsidRDefault="004F4DE3" w:rsidP="00463A4F">
            <w:pPr>
              <w:pStyle w:val="Akapitzlist"/>
              <w:ind w:left="0"/>
            </w:pPr>
            <w:r w:rsidRPr="000A7659">
              <w:rPr>
                <w:b/>
                <w:bCs/>
              </w:rPr>
              <w:t>Wskaźnik najwyższy</w:t>
            </w:r>
          </w:p>
        </w:tc>
        <w:tc>
          <w:tcPr>
            <w:tcW w:w="3668" w:type="dxa"/>
            <w:gridSpan w:val="2"/>
          </w:tcPr>
          <w:p w:rsidR="004F4DE3" w:rsidRDefault="004F4DE3" w:rsidP="00463A4F">
            <w:pPr>
              <w:pStyle w:val="Akapitzlist"/>
              <w:ind w:left="0"/>
            </w:pPr>
            <w:r w:rsidRPr="000A7659">
              <w:rPr>
                <w:b/>
                <w:bCs/>
              </w:rPr>
              <w:t xml:space="preserve">Największe </w:t>
            </w:r>
            <w:proofErr w:type="spellStart"/>
            <w:r w:rsidRPr="000A7659">
              <w:rPr>
                <w:b/>
                <w:bCs/>
              </w:rPr>
              <w:t>jst</w:t>
            </w:r>
            <w:proofErr w:type="spellEnd"/>
          </w:p>
        </w:tc>
      </w:tr>
      <w:tr w:rsidR="004F4DE3" w:rsidTr="004F4DE3">
        <w:tc>
          <w:tcPr>
            <w:tcW w:w="1833" w:type="dxa"/>
          </w:tcPr>
          <w:p w:rsidR="004F4DE3" w:rsidRDefault="004F4DE3" w:rsidP="00463A4F">
            <w:pPr>
              <w:pStyle w:val="Akapitzlist"/>
              <w:ind w:left="0"/>
            </w:pPr>
            <w:r>
              <w:t xml:space="preserve">mniej niż  10 %  </w:t>
            </w:r>
          </w:p>
        </w:tc>
        <w:tc>
          <w:tcPr>
            <w:tcW w:w="1411" w:type="dxa"/>
          </w:tcPr>
          <w:p w:rsidR="004F4DE3" w:rsidRDefault="004F4DE3" w:rsidP="00463A4F">
            <w:pPr>
              <w:pStyle w:val="Akapitzlist"/>
              <w:ind w:left="0"/>
            </w:pPr>
            <w:r>
              <w:t>16</w:t>
            </w:r>
          </w:p>
        </w:tc>
        <w:tc>
          <w:tcPr>
            <w:tcW w:w="2835" w:type="dxa"/>
          </w:tcPr>
          <w:p w:rsidR="004F4DE3" w:rsidRDefault="004F4DE3" w:rsidP="00463A4F">
            <w:pPr>
              <w:pStyle w:val="Akapitzlist"/>
              <w:ind w:left="0"/>
            </w:pPr>
            <w:r>
              <w:t>Ostaszewo, Sztum, Sztutowo</w:t>
            </w:r>
          </w:p>
        </w:tc>
        <w:tc>
          <w:tcPr>
            <w:tcW w:w="1253" w:type="dxa"/>
          </w:tcPr>
          <w:p w:rsidR="004F4DE3" w:rsidRDefault="004F4DE3" w:rsidP="00463A4F">
            <w:pPr>
              <w:pStyle w:val="Akapitzlist"/>
              <w:ind w:left="0"/>
            </w:pPr>
            <w:r>
              <w:t>0 %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Kobylnica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74 %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Sejmik</w:t>
            </w:r>
            <w:r>
              <w:tab/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21</w:t>
            </w:r>
            <w:r w:rsidR="00FA0A08">
              <w:t xml:space="preserve"> </w:t>
            </w:r>
            <w:r>
              <w:t>%</w:t>
            </w:r>
          </w:p>
        </w:tc>
      </w:tr>
      <w:tr w:rsidR="004F4DE3" w:rsidTr="004F4DE3">
        <w:tc>
          <w:tcPr>
            <w:tcW w:w="1833" w:type="dxa"/>
          </w:tcPr>
          <w:p w:rsidR="004F4DE3" w:rsidRDefault="004F4DE3" w:rsidP="00463A4F">
            <w:pPr>
              <w:pStyle w:val="Akapitzlist"/>
              <w:ind w:left="0"/>
            </w:pPr>
            <w:r>
              <w:t>od 10 – 30</w:t>
            </w:r>
            <w:r w:rsidR="00FA0A08">
              <w:t xml:space="preserve"> </w:t>
            </w:r>
            <w:r>
              <w:t>%</w:t>
            </w:r>
          </w:p>
        </w:tc>
        <w:tc>
          <w:tcPr>
            <w:tcW w:w="1411" w:type="dxa"/>
          </w:tcPr>
          <w:p w:rsidR="004F4DE3" w:rsidRDefault="004F4DE3" w:rsidP="00463A4F">
            <w:pPr>
              <w:pStyle w:val="Akapitzlist"/>
              <w:ind w:left="0"/>
            </w:pPr>
            <w:r>
              <w:t>69</w:t>
            </w:r>
          </w:p>
        </w:tc>
        <w:tc>
          <w:tcPr>
            <w:tcW w:w="2835" w:type="dxa"/>
          </w:tcPr>
          <w:p w:rsidR="004F4DE3" w:rsidRDefault="004F4DE3" w:rsidP="00463A4F">
            <w:pPr>
              <w:pStyle w:val="Akapitzlist"/>
              <w:ind w:left="0"/>
            </w:pPr>
            <w:r>
              <w:t>Bobowo</w:t>
            </w:r>
          </w:p>
        </w:tc>
        <w:tc>
          <w:tcPr>
            <w:tcW w:w="1253" w:type="dxa"/>
          </w:tcPr>
          <w:p w:rsidR="004F4DE3" w:rsidRDefault="004F4DE3" w:rsidP="00463A4F">
            <w:pPr>
              <w:pStyle w:val="Akapitzlist"/>
              <w:ind w:left="0"/>
            </w:pPr>
            <w:r>
              <w:t>1 %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g. Słupsk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61 %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Gdańsk</w:t>
            </w:r>
            <w:r>
              <w:tab/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26 %</w:t>
            </w:r>
          </w:p>
        </w:tc>
      </w:tr>
      <w:tr w:rsidR="004F4DE3" w:rsidTr="004F4DE3">
        <w:tc>
          <w:tcPr>
            <w:tcW w:w="1833" w:type="dxa"/>
          </w:tcPr>
          <w:p w:rsidR="004F4DE3" w:rsidRDefault="004F4DE3" w:rsidP="00463A4F">
            <w:pPr>
              <w:pStyle w:val="Akapitzlist"/>
              <w:ind w:left="0"/>
            </w:pPr>
            <w:r>
              <w:t>od 30 - 50 %</w:t>
            </w:r>
          </w:p>
        </w:tc>
        <w:tc>
          <w:tcPr>
            <w:tcW w:w="1411" w:type="dxa"/>
          </w:tcPr>
          <w:p w:rsidR="004F4DE3" w:rsidRDefault="004F4DE3" w:rsidP="00463A4F">
            <w:pPr>
              <w:pStyle w:val="Akapitzlist"/>
              <w:ind w:left="0"/>
            </w:pPr>
            <w:r>
              <w:t>47</w:t>
            </w:r>
          </w:p>
        </w:tc>
        <w:tc>
          <w:tcPr>
            <w:tcW w:w="2835" w:type="dxa"/>
          </w:tcPr>
          <w:p w:rsidR="004F4DE3" w:rsidRDefault="004F4DE3" w:rsidP="00463A4F">
            <w:pPr>
              <w:pStyle w:val="Akapitzlist"/>
              <w:ind w:left="0"/>
            </w:pPr>
            <w:r>
              <w:t>p. gdański, g. Tczew</w:t>
            </w:r>
          </w:p>
        </w:tc>
        <w:tc>
          <w:tcPr>
            <w:tcW w:w="1253" w:type="dxa"/>
          </w:tcPr>
          <w:p w:rsidR="004F4DE3" w:rsidRDefault="004F4DE3" w:rsidP="00463A4F">
            <w:pPr>
              <w:pStyle w:val="Akapitzlist"/>
              <w:ind w:left="0"/>
            </w:pPr>
            <w:r>
              <w:t>3 %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Kępice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57 %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Gdynia</w:t>
            </w:r>
            <w:r>
              <w:tab/>
            </w:r>
          </w:p>
        </w:tc>
        <w:tc>
          <w:tcPr>
            <w:tcW w:w="1834" w:type="dxa"/>
          </w:tcPr>
          <w:p w:rsidR="004F4DE3" w:rsidRDefault="004F4DE3" w:rsidP="004F4DE3">
            <w:pPr>
              <w:pStyle w:val="Akapitzlist"/>
              <w:ind w:left="0"/>
            </w:pPr>
            <w:r>
              <w:t>41 %</w:t>
            </w:r>
          </w:p>
        </w:tc>
      </w:tr>
      <w:tr w:rsidR="004F4DE3" w:rsidTr="004F4DE3">
        <w:tc>
          <w:tcPr>
            <w:tcW w:w="1833" w:type="dxa"/>
          </w:tcPr>
          <w:p w:rsidR="004F4DE3" w:rsidRDefault="004F4DE3" w:rsidP="00463A4F">
            <w:pPr>
              <w:pStyle w:val="Akapitzlist"/>
              <w:ind w:left="0"/>
            </w:pPr>
            <w:r>
              <w:t>powyżej 50 %</w:t>
            </w:r>
          </w:p>
        </w:tc>
        <w:tc>
          <w:tcPr>
            <w:tcW w:w="1411" w:type="dxa"/>
          </w:tcPr>
          <w:p w:rsidR="004F4DE3" w:rsidRDefault="004F4DE3" w:rsidP="00463A4F">
            <w:pPr>
              <w:pStyle w:val="Akapitzlist"/>
              <w:ind w:left="0"/>
            </w:pPr>
            <w:r>
              <w:t>8</w:t>
            </w:r>
          </w:p>
        </w:tc>
        <w:tc>
          <w:tcPr>
            <w:tcW w:w="2835" w:type="dxa"/>
          </w:tcPr>
          <w:p w:rsidR="004F4DE3" w:rsidRDefault="004F4DE3" w:rsidP="00463A4F">
            <w:pPr>
              <w:pStyle w:val="Akapitzlist"/>
              <w:ind w:left="0"/>
            </w:pPr>
          </w:p>
        </w:tc>
        <w:tc>
          <w:tcPr>
            <w:tcW w:w="1253" w:type="dxa"/>
          </w:tcPr>
          <w:p w:rsidR="004F4DE3" w:rsidRDefault="004F4DE3" w:rsidP="00463A4F">
            <w:pPr>
              <w:pStyle w:val="Akapitzlist"/>
              <w:ind w:left="0"/>
            </w:pPr>
          </w:p>
        </w:tc>
        <w:tc>
          <w:tcPr>
            <w:tcW w:w="1834" w:type="dxa"/>
          </w:tcPr>
          <w:p w:rsidR="004F4DE3" w:rsidRDefault="004F4DE3" w:rsidP="004F4DE3">
            <w:pPr>
              <w:pStyle w:val="Akapitzlist"/>
              <w:ind w:left="0"/>
            </w:pPr>
            <w:r>
              <w:t xml:space="preserve">p. człuchowski 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56 %</w:t>
            </w:r>
          </w:p>
        </w:tc>
        <w:tc>
          <w:tcPr>
            <w:tcW w:w="1834" w:type="dxa"/>
          </w:tcPr>
          <w:p w:rsidR="004F4DE3" w:rsidRDefault="004F4DE3" w:rsidP="004F4DE3">
            <w:pPr>
              <w:pStyle w:val="Akapitzlist"/>
              <w:ind w:left="0"/>
            </w:pPr>
            <w:r>
              <w:t>m. Słupsk</w:t>
            </w:r>
            <w:r>
              <w:tab/>
              <w:t xml:space="preserve"> 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42 %</w:t>
            </w:r>
          </w:p>
        </w:tc>
      </w:tr>
      <w:tr w:rsidR="004F4DE3" w:rsidTr="004F4DE3">
        <w:tc>
          <w:tcPr>
            <w:tcW w:w="1833" w:type="dxa"/>
          </w:tcPr>
          <w:p w:rsidR="004F4DE3" w:rsidRDefault="004F4DE3" w:rsidP="00463A4F">
            <w:pPr>
              <w:pStyle w:val="Akapitzlist"/>
              <w:ind w:left="0"/>
            </w:pPr>
          </w:p>
        </w:tc>
        <w:tc>
          <w:tcPr>
            <w:tcW w:w="1411" w:type="dxa"/>
          </w:tcPr>
          <w:p w:rsidR="004F4DE3" w:rsidRDefault="004F4DE3" w:rsidP="00463A4F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4F4DE3" w:rsidRDefault="004F4DE3" w:rsidP="00463A4F">
            <w:pPr>
              <w:pStyle w:val="Akapitzlist"/>
              <w:ind w:left="0"/>
            </w:pPr>
          </w:p>
        </w:tc>
        <w:tc>
          <w:tcPr>
            <w:tcW w:w="1253" w:type="dxa"/>
          </w:tcPr>
          <w:p w:rsidR="004F4DE3" w:rsidRDefault="004F4DE3" w:rsidP="00463A4F">
            <w:pPr>
              <w:pStyle w:val="Akapitzlist"/>
              <w:ind w:left="0"/>
            </w:pPr>
          </w:p>
        </w:tc>
        <w:tc>
          <w:tcPr>
            <w:tcW w:w="1834" w:type="dxa"/>
          </w:tcPr>
          <w:p w:rsidR="004F4DE3" w:rsidRDefault="004F4DE3" w:rsidP="004F4DE3">
            <w:pPr>
              <w:pStyle w:val="Akapitzlist"/>
              <w:ind w:left="0"/>
            </w:pPr>
            <w:r>
              <w:t xml:space="preserve">Wicko 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55 %</w:t>
            </w:r>
          </w:p>
        </w:tc>
        <w:tc>
          <w:tcPr>
            <w:tcW w:w="1834" w:type="dxa"/>
          </w:tcPr>
          <w:p w:rsidR="004F4DE3" w:rsidRDefault="004F4DE3" w:rsidP="004F4DE3">
            <w:pPr>
              <w:pStyle w:val="Akapitzlist"/>
              <w:ind w:left="0"/>
            </w:pPr>
            <w:r>
              <w:t xml:space="preserve">Sopot </w:t>
            </w:r>
          </w:p>
        </w:tc>
        <w:tc>
          <w:tcPr>
            <w:tcW w:w="1834" w:type="dxa"/>
          </w:tcPr>
          <w:p w:rsidR="004F4DE3" w:rsidRDefault="004F4DE3" w:rsidP="00463A4F">
            <w:pPr>
              <w:pStyle w:val="Akapitzlist"/>
              <w:ind w:left="0"/>
            </w:pPr>
            <w:r>
              <w:t>25 %</w:t>
            </w:r>
          </w:p>
        </w:tc>
      </w:tr>
    </w:tbl>
    <w:p w:rsidR="002B02B1" w:rsidRDefault="00E03E4A" w:rsidP="004F4DE3">
      <w:pPr>
        <w:pStyle w:val="Akapitzlist"/>
      </w:pPr>
      <w:r>
        <w:t>Kraj: 30 %, woj. pomorskie 28 %</w:t>
      </w:r>
    </w:p>
    <w:p w:rsidR="004F4DE3" w:rsidRDefault="004F4DE3" w:rsidP="004F4DE3">
      <w:pPr>
        <w:pStyle w:val="Akapitzlist"/>
      </w:pPr>
    </w:p>
    <w:p w:rsidR="002B02B1" w:rsidRDefault="002B02B1" w:rsidP="002B02B1">
      <w:pPr>
        <w:pStyle w:val="Akapitzlist"/>
        <w:numPr>
          <w:ilvl w:val="0"/>
          <w:numId w:val="1"/>
        </w:numPr>
      </w:pPr>
      <w:r>
        <w:t>Wydatki</w:t>
      </w:r>
      <w:r w:rsidR="00FA0A08">
        <w:t xml:space="preserve"> </w:t>
      </w:r>
      <w:r>
        <w:t>/ dochody x 100% / kwota w tys. zł/</w:t>
      </w:r>
    </w:p>
    <w:p w:rsidR="00AD33E0" w:rsidRDefault="002B02B1" w:rsidP="00C1725A">
      <w:pPr>
        <w:pStyle w:val="Akapitzlist"/>
        <w:ind w:left="644"/>
      </w:pPr>
      <w:r>
        <w:t xml:space="preserve">plus nadwyżka 70 </w:t>
      </w:r>
      <w:proofErr w:type="spellStart"/>
      <w:r>
        <w:t>jst</w:t>
      </w:r>
      <w:proofErr w:type="spellEnd"/>
      <w:r>
        <w:t xml:space="preserve"> / w tym 7 </w:t>
      </w:r>
      <w:proofErr w:type="spellStart"/>
      <w:r>
        <w:t>jst</w:t>
      </w:r>
      <w:proofErr w:type="spellEnd"/>
      <w:r>
        <w:t xml:space="preserve"> – 100 %/, - deficyt – 70 </w:t>
      </w:r>
      <w:proofErr w:type="spellStart"/>
      <w:r>
        <w:t>jst</w:t>
      </w:r>
      <w:proofErr w:type="spellEnd"/>
      <w:r>
        <w:t>.</w:t>
      </w:r>
    </w:p>
    <w:p w:rsidR="00AD33E0" w:rsidRDefault="00AD33E0" w:rsidP="00AD33E0">
      <w:pPr>
        <w:pStyle w:val="Akapitzlist"/>
        <w:ind w:left="644"/>
      </w:pPr>
      <w:r>
        <w:t>+ nadwyżka (najniższy wskaźnik):</w:t>
      </w:r>
    </w:p>
    <w:p w:rsidR="00134184" w:rsidRDefault="00AD33E0" w:rsidP="00AD33E0">
      <w:pPr>
        <w:pStyle w:val="Akapitzlist"/>
        <w:ind w:left="644"/>
      </w:pPr>
      <w:r>
        <w:t xml:space="preserve">Rzeczenica 85% (3 058); Hel 86% (3 431); Krynica Morska 68% (9 632); p. Słupski 90% (11 857); g. Kościerzyna 89% (10 098); Dziemiany 89% (3 051); </w:t>
      </w:r>
    </w:p>
    <w:p w:rsidR="00AD33E0" w:rsidRDefault="00AD33E0" w:rsidP="00C1725A">
      <w:pPr>
        <w:pStyle w:val="Akapitzlist"/>
        <w:ind w:left="644"/>
      </w:pPr>
      <w:r>
        <w:t>Konarzyny 91%</w:t>
      </w:r>
      <w:r w:rsidR="00290B06">
        <w:t xml:space="preserve"> (1 339); Gniewino 92% (4 782).</w:t>
      </w:r>
    </w:p>
    <w:p w:rsidR="00AD33E0" w:rsidRDefault="00AD33E0" w:rsidP="00AD33E0">
      <w:pPr>
        <w:pStyle w:val="Akapitzlist"/>
        <w:ind w:left="644"/>
      </w:pPr>
      <w:r>
        <w:t>- deficyt (najwyższy wskaźnik):</w:t>
      </w:r>
    </w:p>
    <w:p w:rsidR="00134184" w:rsidRDefault="00AD33E0" w:rsidP="00AD33E0">
      <w:pPr>
        <w:pStyle w:val="Akapitzlist"/>
        <w:ind w:left="644"/>
      </w:pPr>
      <w:r>
        <w:t>Cedry Wielkie 122% (10 726); Kaliska 122% (7 799); m. Puck 118% (11 794); Stud</w:t>
      </w:r>
      <w:r w:rsidR="00134184">
        <w:t>zienice 114% (3 682); Dębnica Kaszubska</w:t>
      </w:r>
      <w:r>
        <w:t xml:space="preserve"> 113% (6 530); Liniewo 113% (3 532); </w:t>
      </w:r>
    </w:p>
    <w:p w:rsidR="00975D1E" w:rsidRDefault="00975D1E" w:rsidP="00C1725A">
      <w:pPr>
        <w:pStyle w:val="Akapitzlist"/>
        <w:ind w:left="644"/>
      </w:pPr>
      <w:r>
        <w:t>Wicko 112% (4 111); Łeba 111% (3 338); Smętowo G</w:t>
      </w:r>
      <w:r w:rsidR="00134184">
        <w:t>raniczne</w:t>
      </w:r>
      <w:r w:rsidR="00527D20">
        <w:t xml:space="preserve"> 110% (2 672); p. k</w:t>
      </w:r>
      <w:r>
        <w:t>widzyński 110% (4 943)</w:t>
      </w:r>
      <w:r w:rsidR="00290B06">
        <w:t>.</w:t>
      </w:r>
    </w:p>
    <w:p w:rsidR="00975D1E" w:rsidRDefault="00975D1E" w:rsidP="00AD33E0">
      <w:pPr>
        <w:pStyle w:val="Akapitzlist"/>
        <w:ind w:left="644"/>
      </w:pPr>
      <w:r>
        <w:t>*Sejmik 102% (30 718); Gdańsk 103% (122 870); Gd</w:t>
      </w:r>
      <w:r w:rsidR="00290B06">
        <w:t xml:space="preserve">ynia 107% (128 854); </w:t>
      </w:r>
      <w:r>
        <w:t>m. Słupsk 103%</w:t>
      </w:r>
      <w:r w:rsidR="00290B06">
        <w:t xml:space="preserve"> (15 864); Sopot 94% (+24 582).</w:t>
      </w:r>
    </w:p>
    <w:p w:rsidR="00975D1E" w:rsidRDefault="00975D1E" w:rsidP="00AD33E0">
      <w:pPr>
        <w:pStyle w:val="Akapitzlist"/>
        <w:ind w:left="644"/>
      </w:pPr>
      <w:r>
        <w:t>Kraj 101% (-1 701 860); województwo pomorskie 102% (- 319 759).</w:t>
      </w:r>
    </w:p>
    <w:p w:rsidR="00975D1E" w:rsidRDefault="00975D1E" w:rsidP="00AD33E0">
      <w:pPr>
        <w:pStyle w:val="Akapitzlist"/>
        <w:ind w:left="644"/>
      </w:pPr>
    </w:p>
    <w:p w:rsidR="00975D1E" w:rsidRDefault="00975D1E" w:rsidP="00975D1E">
      <w:pPr>
        <w:pStyle w:val="Akapitzlist"/>
        <w:numPr>
          <w:ilvl w:val="0"/>
          <w:numId w:val="1"/>
        </w:numPr>
      </w:pPr>
      <w:r>
        <w:lastRenderedPageBreak/>
        <w:t>Subwencja wyrównawcza:</w:t>
      </w:r>
    </w:p>
    <w:p w:rsidR="00975D1E" w:rsidRDefault="00975D1E" w:rsidP="00975D1E">
      <w:pPr>
        <w:pStyle w:val="Akapitzlist"/>
        <w:ind w:left="644"/>
      </w:pPr>
      <w:r>
        <w:t xml:space="preserve">G </w:t>
      </w:r>
      <w:r w:rsidR="00FF5769">
        <w:t>–</w:t>
      </w:r>
      <w:r>
        <w:t xml:space="preserve"> </w:t>
      </w:r>
      <w:r w:rsidR="00FF5769">
        <w:t xml:space="preserve">dochody własne w przeliczeniu na 1 mieszkańca, </w:t>
      </w:r>
      <w:proofErr w:type="spellStart"/>
      <w:r w:rsidR="00F32567">
        <w:t>Gg</w:t>
      </w:r>
      <w:proofErr w:type="spellEnd"/>
      <w:r w:rsidR="00F32567">
        <w:t xml:space="preserve"> – średnia krajowa</w:t>
      </w:r>
    </w:p>
    <w:p w:rsidR="0019159A" w:rsidRDefault="00F32567" w:rsidP="00975D1E">
      <w:pPr>
        <w:pStyle w:val="Akapitzlist"/>
        <w:ind w:left="644"/>
      </w:pPr>
      <w:r>
        <w:t>G/</w:t>
      </w:r>
      <w:proofErr w:type="spellStart"/>
      <w:r>
        <w:t>Gg</w:t>
      </w:r>
      <w:proofErr w:type="spellEnd"/>
      <w:r>
        <w:t xml:space="preserve"> &lt; 92% </w:t>
      </w:r>
      <w:r w:rsidR="003906A6">
        <w:t>- gmina otrzymuje subwencję wyrównawczą, G/</w:t>
      </w:r>
      <w:proofErr w:type="spellStart"/>
      <w:r w:rsidR="003906A6">
        <w:t>Gg</w:t>
      </w:r>
      <w:proofErr w:type="spellEnd"/>
      <w:r w:rsidR="00134184">
        <w:t xml:space="preserve"> </w:t>
      </w:r>
      <w:r w:rsidR="003906A6">
        <w:t>&gt; 150% - nadwyżka ponad 150% jest opodatkowana</w:t>
      </w:r>
      <w:r w:rsidR="0019159A">
        <w:t xml:space="preserve">, </w:t>
      </w:r>
    </w:p>
    <w:p w:rsidR="00F32567" w:rsidRDefault="0019159A" w:rsidP="00975D1E">
      <w:pPr>
        <w:pStyle w:val="Akapitzlist"/>
        <w:ind w:left="644"/>
      </w:pPr>
      <w:r>
        <w:t xml:space="preserve">P – dochody własne w powiatach, </w:t>
      </w:r>
      <w:proofErr w:type="spellStart"/>
      <w:r>
        <w:t>Pp</w:t>
      </w:r>
      <w:proofErr w:type="spellEnd"/>
      <w:r>
        <w:t xml:space="preserve"> – średnia krajowa, analogicznie W i Ww.</w:t>
      </w:r>
    </w:p>
    <w:p w:rsidR="0019159A" w:rsidRDefault="0019159A" w:rsidP="00975D1E">
      <w:pPr>
        <w:pStyle w:val="Akapitzlist"/>
        <w:ind w:left="644"/>
      </w:pPr>
      <w:r>
        <w:t>P/</w:t>
      </w:r>
      <w:proofErr w:type="spellStart"/>
      <w:r>
        <w:t>Pp</w:t>
      </w:r>
      <w:proofErr w:type="spellEnd"/>
      <w:r>
        <w:t>, W/</w:t>
      </w:r>
      <w:proofErr w:type="spellStart"/>
      <w:r>
        <w:t>Ww</w:t>
      </w:r>
      <w:proofErr w:type="spellEnd"/>
      <w:r>
        <w:t xml:space="preserve"> &lt;</w:t>
      </w:r>
      <w:r w:rsidR="00134184">
        <w:t xml:space="preserve"> </w:t>
      </w:r>
      <w:r>
        <w:t>100% - przysługuje subwencja wyrównawcza, P/</w:t>
      </w:r>
      <w:proofErr w:type="spellStart"/>
      <w:r>
        <w:t>Pp</w:t>
      </w:r>
      <w:proofErr w:type="spellEnd"/>
      <w:r>
        <w:t>, W/</w:t>
      </w:r>
      <w:proofErr w:type="spellStart"/>
      <w:r>
        <w:t>Ww</w:t>
      </w:r>
      <w:proofErr w:type="spellEnd"/>
      <w:r w:rsidR="00134184">
        <w:t xml:space="preserve"> </w:t>
      </w:r>
      <w:r>
        <w:t>&gt; 150% nadwyżka opodatkowana, G/</w:t>
      </w:r>
      <w:proofErr w:type="spellStart"/>
      <w:r>
        <w:t>Gg</w:t>
      </w:r>
      <w:proofErr w:type="spellEnd"/>
      <w:r>
        <w:t xml:space="preserve"> (kwota na 1 mieszkańca). </w:t>
      </w:r>
    </w:p>
    <w:p w:rsidR="0019159A" w:rsidRDefault="0019159A" w:rsidP="00975D1E">
      <w:pPr>
        <w:pStyle w:val="Akapitzlist"/>
        <w:ind w:left="644"/>
      </w:pPr>
      <w:r>
        <w:t xml:space="preserve">4 gminy (mniej niż 50%): </w:t>
      </w:r>
      <w:r w:rsidR="00290B06">
        <w:t>Linia 46% (820,05);</w:t>
      </w:r>
      <w:r w:rsidR="005B5D11">
        <w:t xml:space="preserve"> Sadlinki 47% (843,84)</w:t>
      </w:r>
      <w:r w:rsidR="00290B06">
        <w:t>;</w:t>
      </w:r>
      <w:r w:rsidR="005B5D11">
        <w:t xml:space="preserve"> Ryjewo 49% (883,22)</w:t>
      </w:r>
      <w:r w:rsidR="00836D92">
        <w:t xml:space="preserve">; </w:t>
      </w:r>
      <w:r w:rsidR="00836D92">
        <w:t>Czarna Dąbrówka 49% (872,75)</w:t>
      </w:r>
    </w:p>
    <w:p w:rsidR="005B5D11" w:rsidRDefault="005B5D11" w:rsidP="00975D1E">
      <w:pPr>
        <w:pStyle w:val="Akapitzlist"/>
        <w:ind w:left="644"/>
      </w:pPr>
      <w:r>
        <w:t>84 gminy – od 50 do 92%, 25 gmin od 92</w:t>
      </w:r>
      <w:r w:rsidR="00290B06">
        <w:t xml:space="preserve"> </w:t>
      </w:r>
      <w:r>
        <w:t>-</w:t>
      </w:r>
      <w:r w:rsidR="00290B06">
        <w:t xml:space="preserve"> </w:t>
      </w:r>
      <w:r>
        <w:t xml:space="preserve">150%, 10 gmin powyżej 150% </w:t>
      </w:r>
    </w:p>
    <w:p w:rsidR="00290B06" w:rsidRDefault="005B5D11" w:rsidP="00975D1E">
      <w:pPr>
        <w:pStyle w:val="Akapitzlist"/>
        <w:ind w:left="644"/>
      </w:pPr>
      <w:r>
        <w:t>Powyżej 150%: Krynica Morska 230% (4 178,00)</w:t>
      </w:r>
      <w:r w:rsidR="00290B06">
        <w:t>; Gniewino 189% (3 379,33); Wicko 185% (3 305,33); Cedry Wielkie 176% (3 150,77); Łeba 172% (3 074,48);</w:t>
      </w:r>
      <w:r w:rsidR="004457B8">
        <w:t xml:space="preserve"> </w:t>
      </w:r>
    </w:p>
    <w:p w:rsidR="005B5D11" w:rsidRDefault="004457B8" w:rsidP="00975D1E">
      <w:pPr>
        <w:pStyle w:val="Akapitzlist"/>
        <w:ind w:left="644"/>
      </w:pPr>
      <w:r>
        <w:t>Kolbudy 167% (2 990,28)</w:t>
      </w:r>
      <w:r w:rsidR="00290B06">
        <w:t>;</w:t>
      </w:r>
      <w:r>
        <w:t xml:space="preserve"> Kobylnica 158% (2 832,47)</w:t>
      </w:r>
      <w:r w:rsidR="00290B06">
        <w:t>; g. Ustka 157% (2 811,87); g. Sopot 156% ( 2795,29);</w:t>
      </w:r>
      <w:r>
        <w:t xml:space="preserve"> Kosakowo 155% (2 774,26)</w:t>
      </w:r>
    </w:p>
    <w:p w:rsidR="004457B8" w:rsidRDefault="004457B8" w:rsidP="00975D1E">
      <w:pPr>
        <w:pStyle w:val="Akapitzlist"/>
        <w:ind w:left="644"/>
      </w:pPr>
      <w:r>
        <w:t>P/</w:t>
      </w:r>
      <w:proofErr w:type="spellStart"/>
      <w:r>
        <w:t>Pp</w:t>
      </w:r>
      <w:proofErr w:type="spellEnd"/>
      <w:r>
        <w:t>: mniej niż 100% 15 powiatów ziemskich, 1 powiat ponad 100%</w:t>
      </w:r>
    </w:p>
    <w:p w:rsidR="00290B06" w:rsidRDefault="00290B06" w:rsidP="00975D1E">
      <w:pPr>
        <w:pStyle w:val="Akapitzlist"/>
        <w:ind w:left="644"/>
      </w:pPr>
      <w:r>
        <w:t xml:space="preserve">Najniższy wskaźnik: </w:t>
      </w:r>
      <w:r w:rsidR="00836D92">
        <w:t>s</w:t>
      </w:r>
      <w:r>
        <w:t>ztumski 51% (130,75), najwyższy gdański 107% (271,69)</w:t>
      </w:r>
    </w:p>
    <w:p w:rsidR="00290B06" w:rsidRDefault="00290B06" w:rsidP="00975D1E">
      <w:pPr>
        <w:pStyle w:val="Akapitzlist"/>
        <w:ind w:left="644"/>
      </w:pPr>
      <w:r>
        <w:t>Powiaty grodzkie: Gdańsk 150% (381,73); Gdynia 150% (380,09); m. Słupsk 99% (252,18); Sopot 203% (515,12)</w:t>
      </w:r>
    </w:p>
    <w:p w:rsidR="00290B06" w:rsidRDefault="00290B06" w:rsidP="00975D1E">
      <w:pPr>
        <w:pStyle w:val="Akapitzlist"/>
        <w:ind w:left="644"/>
      </w:pPr>
      <w:r>
        <w:t>Sejmik W/</w:t>
      </w:r>
      <w:proofErr w:type="spellStart"/>
      <w:r>
        <w:t>Ww</w:t>
      </w:r>
      <w:proofErr w:type="spellEnd"/>
      <w:r>
        <w:t xml:space="preserve"> = 97% (172,90)</w:t>
      </w:r>
    </w:p>
    <w:p w:rsidR="00290B06" w:rsidRDefault="00290B06" w:rsidP="00975D1E">
      <w:pPr>
        <w:pStyle w:val="Akapitzlist"/>
        <w:ind w:left="644"/>
      </w:pPr>
      <w:proofErr w:type="spellStart"/>
      <w:r>
        <w:t>Gg</w:t>
      </w:r>
      <w:proofErr w:type="spellEnd"/>
      <w:r>
        <w:t xml:space="preserve"> = 1790,33 zł; </w:t>
      </w:r>
      <w:proofErr w:type="spellStart"/>
      <w:r>
        <w:t>Pp</w:t>
      </w:r>
      <w:proofErr w:type="spellEnd"/>
      <w:r>
        <w:t xml:space="preserve"> = 253,91 zł; </w:t>
      </w:r>
      <w:proofErr w:type="spellStart"/>
      <w:r>
        <w:t>Ww</w:t>
      </w:r>
      <w:proofErr w:type="spellEnd"/>
      <w:r>
        <w:t xml:space="preserve"> = 178,32 zł</w:t>
      </w:r>
    </w:p>
    <w:p w:rsidR="001C6A7D" w:rsidRDefault="001C6A7D" w:rsidP="00975D1E">
      <w:pPr>
        <w:pStyle w:val="Akapitzlist"/>
        <w:ind w:left="644"/>
      </w:pPr>
    </w:p>
    <w:p w:rsidR="001C6A7D" w:rsidRDefault="001C6A7D" w:rsidP="001C6A7D">
      <w:pPr>
        <w:pStyle w:val="Akapitzlist"/>
        <w:numPr>
          <w:ilvl w:val="0"/>
          <w:numId w:val="1"/>
        </w:numPr>
      </w:pPr>
      <w:r>
        <w:t>Wydatki na zadania oświatowe (załącznik</w:t>
      </w:r>
      <w:r w:rsidR="00836D92">
        <w:t xml:space="preserve"> 2</w:t>
      </w:r>
      <w:r>
        <w:t>).</w:t>
      </w:r>
    </w:p>
    <w:p w:rsidR="001C6A7D" w:rsidRDefault="001C6A7D" w:rsidP="001C6A7D">
      <w:pPr>
        <w:pStyle w:val="Akapitzlist"/>
        <w:ind w:left="644"/>
      </w:pPr>
      <w:r>
        <w:t xml:space="preserve">Wydatki na zadania bieżące w stosunku do wsparcia z budżetu państwa (subwencja oświatowa + dotacje na zadania bieżące). </w:t>
      </w:r>
    </w:p>
    <w:p w:rsidR="001C6A7D" w:rsidRDefault="00836D92" w:rsidP="001C6A7D">
      <w:pPr>
        <w:pStyle w:val="Akapitzlist"/>
        <w:ind w:left="644"/>
      </w:pPr>
      <w:r>
        <w:t>D</w:t>
      </w:r>
      <w:r w:rsidR="001C6A7D">
        <w:t>otacje na zadania bieżące stanowią ok. 1,5% w stosunku do wielk</w:t>
      </w:r>
      <w:r>
        <w:t>ości kwoty subwencji oświatowej</w:t>
      </w:r>
      <w:bookmarkStart w:id="0" w:name="_GoBack"/>
      <w:bookmarkEnd w:id="0"/>
      <w:r w:rsidR="000D27B4">
        <w:t>.</w:t>
      </w:r>
    </w:p>
    <w:p w:rsidR="000D27B4" w:rsidRDefault="000D27B4" w:rsidP="001C6A7D">
      <w:pPr>
        <w:pStyle w:val="Akapitzlist"/>
        <w:ind w:left="644"/>
      </w:pPr>
    </w:p>
    <w:tbl>
      <w:tblPr>
        <w:tblStyle w:val="Tabela-Siatka"/>
        <w:tblW w:w="11716" w:type="dxa"/>
        <w:tblInd w:w="644" w:type="dxa"/>
        <w:tblLook w:val="04A0" w:firstRow="1" w:lastRow="0" w:firstColumn="1" w:lastColumn="0" w:noHBand="0" w:noVBand="1"/>
      </w:tblPr>
      <w:tblGrid>
        <w:gridCol w:w="2549"/>
        <w:gridCol w:w="89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0D27B4" w:rsidTr="000D27B4">
        <w:tc>
          <w:tcPr>
            <w:tcW w:w="2549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Rok</w:t>
            </w:r>
          </w:p>
        </w:tc>
        <w:tc>
          <w:tcPr>
            <w:tcW w:w="897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2009</w:t>
            </w:r>
          </w:p>
        </w:tc>
        <w:tc>
          <w:tcPr>
            <w:tcW w:w="827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2010</w:t>
            </w:r>
          </w:p>
        </w:tc>
        <w:tc>
          <w:tcPr>
            <w:tcW w:w="827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2011</w:t>
            </w:r>
          </w:p>
        </w:tc>
        <w:tc>
          <w:tcPr>
            <w:tcW w:w="827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2012</w:t>
            </w:r>
          </w:p>
        </w:tc>
        <w:tc>
          <w:tcPr>
            <w:tcW w:w="827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2013</w:t>
            </w:r>
          </w:p>
        </w:tc>
        <w:tc>
          <w:tcPr>
            <w:tcW w:w="827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2014</w:t>
            </w:r>
          </w:p>
        </w:tc>
        <w:tc>
          <w:tcPr>
            <w:tcW w:w="827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2015</w:t>
            </w:r>
          </w:p>
        </w:tc>
        <w:tc>
          <w:tcPr>
            <w:tcW w:w="827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2016</w:t>
            </w:r>
          </w:p>
        </w:tc>
        <w:tc>
          <w:tcPr>
            <w:tcW w:w="827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2017</w:t>
            </w:r>
          </w:p>
        </w:tc>
        <w:tc>
          <w:tcPr>
            <w:tcW w:w="827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2018</w:t>
            </w:r>
          </w:p>
        </w:tc>
        <w:tc>
          <w:tcPr>
            <w:tcW w:w="827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2019</w:t>
            </w:r>
          </w:p>
        </w:tc>
      </w:tr>
      <w:tr w:rsidR="000D27B4" w:rsidTr="000D27B4">
        <w:tc>
          <w:tcPr>
            <w:tcW w:w="2549" w:type="dxa"/>
          </w:tcPr>
          <w:p w:rsidR="000D27B4" w:rsidRPr="000D27B4" w:rsidRDefault="000D27B4" w:rsidP="000D27B4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Wskaźnik % Krajowy</w:t>
            </w:r>
          </w:p>
        </w:tc>
        <w:tc>
          <w:tcPr>
            <w:tcW w:w="897" w:type="dxa"/>
          </w:tcPr>
          <w:p w:rsidR="000D27B4" w:rsidRDefault="000D27B4" w:rsidP="001C6A7D">
            <w:pPr>
              <w:pStyle w:val="Akapitzlist"/>
              <w:ind w:left="0"/>
            </w:pPr>
            <w:r>
              <w:t>120,6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122,0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122,5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121,3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121,6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122,8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125,3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125,4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126,0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126,1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124,3</w:t>
            </w:r>
          </w:p>
        </w:tc>
      </w:tr>
      <w:tr w:rsidR="000D27B4" w:rsidTr="000D27B4">
        <w:tc>
          <w:tcPr>
            <w:tcW w:w="2549" w:type="dxa"/>
          </w:tcPr>
          <w:p w:rsidR="000D27B4" w:rsidRPr="000D27B4" w:rsidRDefault="000D27B4" w:rsidP="000D27B4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Wskaźnik % wojewódzki</w:t>
            </w:r>
          </w:p>
        </w:tc>
        <w:tc>
          <w:tcPr>
            <w:tcW w:w="897" w:type="dxa"/>
          </w:tcPr>
          <w:p w:rsidR="000D27B4" w:rsidRDefault="000D27B4" w:rsidP="001C6A7D">
            <w:pPr>
              <w:pStyle w:val="Akapitzlist"/>
              <w:ind w:left="0"/>
            </w:pP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122,6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121,4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120,0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120,3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121,2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122,1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122,5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124,1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123,4</w:t>
            </w:r>
          </w:p>
        </w:tc>
        <w:tc>
          <w:tcPr>
            <w:tcW w:w="827" w:type="dxa"/>
          </w:tcPr>
          <w:p w:rsidR="000D27B4" w:rsidRDefault="000D27B4" w:rsidP="001C6A7D">
            <w:pPr>
              <w:pStyle w:val="Akapitzlist"/>
              <w:ind w:left="0"/>
            </w:pPr>
            <w:r>
              <w:t>120,9</w:t>
            </w:r>
          </w:p>
        </w:tc>
      </w:tr>
    </w:tbl>
    <w:p w:rsidR="000D27B4" w:rsidRDefault="000D27B4" w:rsidP="001C6A7D">
      <w:pPr>
        <w:pStyle w:val="Akapitzlist"/>
        <w:ind w:left="644"/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772"/>
        <w:gridCol w:w="2103"/>
        <w:gridCol w:w="2103"/>
        <w:gridCol w:w="2103"/>
        <w:gridCol w:w="2103"/>
        <w:gridCol w:w="2104"/>
      </w:tblGrid>
      <w:tr w:rsidR="000D27B4" w:rsidRPr="000D27B4" w:rsidTr="000D27B4">
        <w:tc>
          <w:tcPr>
            <w:tcW w:w="772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Rok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Sejmik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Gdańsk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Gdynia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m. Słupsk</w:t>
            </w:r>
          </w:p>
        </w:tc>
        <w:tc>
          <w:tcPr>
            <w:tcW w:w="2104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Sopot</w:t>
            </w:r>
          </w:p>
        </w:tc>
      </w:tr>
      <w:tr w:rsidR="000D27B4" w:rsidRPr="000D27B4" w:rsidTr="000D27B4">
        <w:tc>
          <w:tcPr>
            <w:tcW w:w="772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2014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 w:rsidRPr="000D27B4">
              <w:t>106,9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144,0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141,4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120,6</w:t>
            </w:r>
          </w:p>
        </w:tc>
        <w:tc>
          <w:tcPr>
            <w:tcW w:w="2104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153,6</w:t>
            </w:r>
          </w:p>
        </w:tc>
      </w:tr>
      <w:tr w:rsidR="000D27B4" w:rsidRPr="000D27B4" w:rsidTr="000D27B4">
        <w:tc>
          <w:tcPr>
            <w:tcW w:w="772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2015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104,9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147,4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144,4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118,2</w:t>
            </w:r>
          </w:p>
        </w:tc>
        <w:tc>
          <w:tcPr>
            <w:tcW w:w="2104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154,5</w:t>
            </w:r>
          </w:p>
        </w:tc>
      </w:tr>
      <w:tr w:rsidR="000D27B4" w:rsidRPr="000D27B4" w:rsidTr="000D27B4">
        <w:tc>
          <w:tcPr>
            <w:tcW w:w="772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2016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110,6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150,0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142,1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117,1</w:t>
            </w:r>
          </w:p>
        </w:tc>
        <w:tc>
          <w:tcPr>
            <w:tcW w:w="2104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153,0</w:t>
            </w:r>
          </w:p>
        </w:tc>
      </w:tr>
      <w:tr w:rsidR="000D27B4" w:rsidRPr="000D27B4" w:rsidTr="000D27B4">
        <w:tc>
          <w:tcPr>
            <w:tcW w:w="772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2017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118,9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151,1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144,0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120,1</w:t>
            </w:r>
          </w:p>
        </w:tc>
        <w:tc>
          <w:tcPr>
            <w:tcW w:w="2104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156,7</w:t>
            </w:r>
          </w:p>
        </w:tc>
      </w:tr>
      <w:tr w:rsidR="000D27B4" w:rsidRPr="000D27B4" w:rsidTr="000D27B4">
        <w:tc>
          <w:tcPr>
            <w:tcW w:w="772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2018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124,3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150,3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143,0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120,6</w:t>
            </w:r>
          </w:p>
        </w:tc>
        <w:tc>
          <w:tcPr>
            <w:tcW w:w="2104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159,7</w:t>
            </w:r>
          </w:p>
        </w:tc>
      </w:tr>
      <w:tr w:rsidR="000D27B4" w:rsidRPr="000D27B4" w:rsidTr="000D27B4">
        <w:tc>
          <w:tcPr>
            <w:tcW w:w="772" w:type="dxa"/>
          </w:tcPr>
          <w:p w:rsidR="000D27B4" w:rsidRPr="000D27B4" w:rsidRDefault="000D27B4" w:rsidP="001C6A7D">
            <w:pPr>
              <w:pStyle w:val="Akapitzlist"/>
              <w:ind w:left="0"/>
              <w:rPr>
                <w:b/>
              </w:rPr>
            </w:pPr>
            <w:r w:rsidRPr="000D27B4">
              <w:rPr>
                <w:b/>
              </w:rPr>
              <w:t>2019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127,4</w:t>
            </w:r>
          </w:p>
        </w:tc>
        <w:tc>
          <w:tcPr>
            <w:tcW w:w="2103" w:type="dxa"/>
          </w:tcPr>
          <w:p w:rsidR="000D27B4" w:rsidRPr="000D27B4" w:rsidRDefault="000D27B4" w:rsidP="001C6A7D">
            <w:pPr>
              <w:pStyle w:val="Akapitzlist"/>
              <w:ind w:left="0"/>
            </w:pPr>
            <w:r>
              <w:t>144,9</w:t>
            </w:r>
          </w:p>
        </w:tc>
        <w:tc>
          <w:tcPr>
            <w:tcW w:w="2103" w:type="dxa"/>
          </w:tcPr>
          <w:p w:rsidR="000D27B4" w:rsidRPr="000D27B4" w:rsidRDefault="00C1725A" w:rsidP="001C6A7D">
            <w:pPr>
              <w:pStyle w:val="Akapitzlist"/>
              <w:ind w:left="0"/>
            </w:pPr>
            <w:r>
              <w:t>142,7</w:t>
            </w:r>
          </w:p>
        </w:tc>
        <w:tc>
          <w:tcPr>
            <w:tcW w:w="2103" w:type="dxa"/>
          </w:tcPr>
          <w:p w:rsidR="000D27B4" w:rsidRPr="000D27B4" w:rsidRDefault="00C1725A" w:rsidP="001C6A7D">
            <w:pPr>
              <w:pStyle w:val="Akapitzlist"/>
              <w:ind w:left="0"/>
            </w:pPr>
            <w:r>
              <w:t>115,7</w:t>
            </w:r>
          </w:p>
        </w:tc>
        <w:tc>
          <w:tcPr>
            <w:tcW w:w="2104" w:type="dxa"/>
          </w:tcPr>
          <w:p w:rsidR="000D27B4" w:rsidRPr="000D27B4" w:rsidRDefault="00C1725A" w:rsidP="001C6A7D">
            <w:pPr>
              <w:pStyle w:val="Akapitzlist"/>
              <w:ind w:left="0"/>
            </w:pPr>
            <w:r>
              <w:t>160,1</w:t>
            </w:r>
          </w:p>
        </w:tc>
      </w:tr>
    </w:tbl>
    <w:p w:rsidR="000D27B4" w:rsidRDefault="000D27B4" w:rsidP="001C6A7D">
      <w:pPr>
        <w:pStyle w:val="Akapitzlist"/>
        <w:ind w:left="644"/>
        <w:rPr>
          <w:b/>
        </w:rPr>
      </w:pPr>
    </w:p>
    <w:p w:rsidR="00C1725A" w:rsidRDefault="00C1725A" w:rsidP="001C6A7D">
      <w:pPr>
        <w:pStyle w:val="Akapitzlist"/>
        <w:ind w:left="644"/>
      </w:pPr>
      <w:r w:rsidRPr="00C1725A">
        <w:t xml:space="preserve">W roku 2016 </w:t>
      </w:r>
      <w:r>
        <w:t xml:space="preserve">subwencja oświatowa wyniosła o ponad 1 mld zł, a wynagrodzenia nauczycieli po raz trzeci pozostały zamrożone – nie było zmiany kwoty bazowej ustalonej 01.09.2012 r. </w:t>
      </w:r>
    </w:p>
    <w:p w:rsidR="00C1725A" w:rsidRPr="00C1725A" w:rsidRDefault="00C1725A" w:rsidP="001C6A7D">
      <w:pPr>
        <w:pStyle w:val="Akapitzlist"/>
        <w:ind w:left="644"/>
      </w:pPr>
      <w:r>
        <w:t xml:space="preserve">W roku 2017 i 2018 większość kosztów skutków wynikających z likwidacji gimnazjów poniosły </w:t>
      </w:r>
      <w:proofErr w:type="spellStart"/>
      <w:r>
        <w:t>jst</w:t>
      </w:r>
      <w:proofErr w:type="spellEnd"/>
      <w:r>
        <w:t>. Natomiast w roku 2019 głównym powodem obniżenia kosztów ogółem było tworzenie oddziałów (klas) z bardzo dużą liczbą uczniów w szkołach średnich.</w:t>
      </w:r>
    </w:p>
    <w:sectPr w:rsidR="00C1725A" w:rsidRPr="00C1725A" w:rsidSect="007708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39A0"/>
    <w:multiLevelType w:val="hybridMultilevel"/>
    <w:tmpl w:val="30AE0D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C2"/>
    <w:rsid w:val="000A7659"/>
    <w:rsid w:val="000D27B4"/>
    <w:rsid w:val="00134184"/>
    <w:rsid w:val="0019159A"/>
    <w:rsid w:val="001C6A7D"/>
    <w:rsid w:val="00290B06"/>
    <w:rsid w:val="002B02B1"/>
    <w:rsid w:val="003906A6"/>
    <w:rsid w:val="003E5705"/>
    <w:rsid w:val="004457B8"/>
    <w:rsid w:val="00463A4F"/>
    <w:rsid w:val="004F4DE3"/>
    <w:rsid w:val="0052422C"/>
    <w:rsid w:val="00527D20"/>
    <w:rsid w:val="00546AD5"/>
    <w:rsid w:val="005B5D11"/>
    <w:rsid w:val="00760B9D"/>
    <w:rsid w:val="007708C2"/>
    <w:rsid w:val="007F550B"/>
    <w:rsid w:val="00836D92"/>
    <w:rsid w:val="008A5C6B"/>
    <w:rsid w:val="00975D1E"/>
    <w:rsid w:val="009B1753"/>
    <w:rsid w:val="00AD33E0"/>
    <w:rsid w:val="00B80485"/>
    <w:rsid w:val="00C1725A"/>
    <w:rsid w:val="00DE2C3E"/>
    <w:rsid w:val="00E03E4A"/>
    <w:rsid w:val="00EB6127"/>
    <w:rsid w:val="00F32567"/>
    <w:rsid w:val="00FA0A08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1840"/>
  <w15:chartTrackingRefBased/>
  <w15:docId w15:val="{994D846F-F315-4564-A883-7E84F0E0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8C2"/>
    <w:pPr>
      <w:ind w:left="720"/>
      <w:contextualSpacing/>
    </w:pPr>
  </w:style>
  <w:style w:type="table" w:styleId="Tabela-Siatka">
    <w:name w:val="Table Grid"/>
    <w:basedOn w:val="Standardowy"/>
    <w:uiPriority w:val="39"/>
    <w:rsid w:val="009B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Grabowska Agnieszka</cp:lastModifiedBy>
  <cp:revision>18</cp:revision>
  <cp:lastPrinted>2020-06-24T07:00:00Z</cp:lastPrinted>
  <dcterms:created xsi:type="dcterms:W3CDTF">2020-06-21T17:49:00Z</dcterms:created>
  <dcterms:modified xsi:type="dcterms:W3CDTF">2020-06-24T08:04:00Z</dcterms:modified>
</cp:coreProperties>
</file>